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8D0716">
      <w:pPr>
        <w:pStyle w:val="a3"/>
        <w:rPr>
          <w:rFonts w:eastAsiaTheme="minorEastAsia"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eastAsia="Times New Roman" w:cs="Times New Roman"/>
        </w:rPr>
        <w:t>10</w:t>
      </w:r>
      <w:r>
        <w:rPr>
          <w:rFonts w:hint="eastAsia"/>
        </w:rPr>
        <w:t>号</w:t>
      </w:r>
      <w:r>
        <w:rPr>
          <w:rFonts w:eastAsia="Times New Roman" w:cs="Times New Roman"/>
        </w:rPr>
        <w:t>(</w:t>
      </w:r>
      <w:r w:rsidR="00697819">
        <w:rPr>
          <w:rFonts w:asciiTheme="minorEastAsia" w:eastAsiaTheme="minorEastAsia" w:hAnsiTheme="minorEastAsia" w:cs="Times New Roman" w:hint="eastAsia"/>
        </w:rPr>
        <w:t>別表</w:t>
      </w:r>
      <w:r w:rsidR="00697819">
        <w:rPr>
          <w:rFonts w:hint="eastAsia"/>
        </w:rPr>
        <w:t>関係</w:t>
      </w:r>
      <w:r>
        <w:rPr>
          <w:rFonts w:eastAsia="Times New Roman" w:cs="Times New Roman"/>
        </w:rPr>
        <w:t>)</w:t>
      </w:r>
    </w:p>
    <w:p w:rsidR="00B96AB4" w:rsidRPr="00B96AB4" w:rsidRDefault="00B96AB4" w:rsidP="008D0716">
      <w:pPr>
        <w:pStyle w:val="a3"/>
        <w:rPr>
          <w:rFonts w:eastAsiaTheme="minorEastAsia"/>
          <w:spacing w:val="0"/>
        </w:rPr>
      </w:pPr>
    </w:p>
    <w:p w:rsidR="008D0716" w:rsidRDefault="00B96AB4" w:rsidP="00B96AB4">
      <w:pPr>
        <w:pStyle w:val="a3"/>
        <w:jc w:val="center"/>
        <w:rPr>
          <w:spacing w:val="0"/>
        </w:rPr>
      </w:pPr>
      <w:r>
        <w:rPr>
          <w:rFonts w:hint="eastAsia"/>
        </w:rPr>
        <w:t>宅地の造成等、</w:t>
      </w:r>
      <w:r w:rsidR="008D0716">
        <w:rPr>
          <w:rFonts w:hint="eastAsia"/>
        </w:rPr>
        <w:t>土石の類の採取又は水面の埋立て若しくは干拓仕様書</w:t>
      </w:r>
    </w:p>
    <w:tbl>
      <w:tblPr>
        <w:tblW w:w="0" w:type="auto"/>
        <w:tblInd w:w="68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0"/>
        <w:gridCol w:w="1430"/>
        <w:gridCol w:w="440"/>
        <w:gridCol w:w="330"/>
        <w:gridCol w:w="1430"/>
        <w:gridCol w:w="4840"/>
      </w:tblGrid>
      <w:tr w:rsidR="008D0716" w:rsidTr="00A03E6A">
        <w:trPr>
          <w:cantSplit/>
          <w:trHeight w:hRule="exact" w:val="624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>
            <w:r w:rsidRPr="00B96AB4">
              <w:rPr>
                <w:rFonts w:hint="eastAsia"/>
              </w:rPr>
              <w:t>Ⅰ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3E6A" w:rsidRDefault="008D0716" w:rsidP="00DE7399">
            <w:pPr>
              <w:jc w:val="distribute"/>
            </w:pPr>
            <w:r w:rsidRPr="00B96AB4">
              <w:rPr>
                <w:rFonts w:hint="eastAsia"/>
              </w:rPr>
              <w:t>宅地の</w:t>
            </w:r>
          </w:p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造成等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行為の種類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(1)</w:t>
            </w:r>
            <w:r>
              <w:rPr>
                <w:rFonts w:hint="eastAsia"/>
                <w:spacing w:val="-11"/>
                <w:kern w:val="2"/>
              </w:rPr>
              <w:t xml:space="preserve">　宅地の造成　</w:t>
            </w:r>
            <w:r>
              <w:rPr>
                <w:rFonts w:eastAsia="Times New Roman" w:cs="Times New Roman"/>
                <w:spacing w:val="-11"/>
                <w:kern w:val="2"/>
              </w:rPr>
              <w:t>(2)</w:t>
            </w:r>
            <w:r>
              <w:rPr>
                <w:rFonts w:hint="eastAsia"/>
                <w:spacing w:val="-11"/>
                <w:kern w:val="2"/>
              </w:rPr>
              <w:t>土地の開墾</w:t>
            </w:r>
          </w:p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(3)</w:t>
            </w:r>
            <w:r>
              <w:rPr>
                <w:rFonts w:hint="eastAsia"/>
                <w:spacing w:val="-11"/>
                <w:kern w:val="2"/>
              </w:rPr>
              <w:t xml:space="preserve">　その他</w:t>
            </w:r>
            <w:r>
              <w:rPr>
                <w:rFonts w:eastAsia="Times New Roman" w:cs="Times New Roman"/>
                <w:spacing w:val="-11"/>
                <w:kern w:val="2"/>
              </w:rPr>
              <w:t>(</w:t>
            </w:r>
            <w:r>
              <w:rPr>
                <w:rFonts w:hint="eastAsia"/>
                <w:spacing w:val="-11"/>
                <w:kern w:val="2"/>
              </w:rPr>
              <w:t xml:space="preserve">　　</w:t>
            </w:r>
            <w:r w:rsidR="005315AD">
              <w:rPr>
                <w:rFonts w:hint="eastAsia"/>
                <w:spacing w:val="-11"/>
                <w:kern w:val="2"/>
              </w:rPr>
              <w:t xml:space="preserve">　　　　　　</w:t>
            </w:r>
            <w:r>
              <w:rPr>
                <w:rFonts w:hint="eastAsia"/>
                <w:spacing w:val="-1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1"/>
                <w:kern w:val="2"/>
              </w:rPr>
              <w:t>)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行為場所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(1)</w:t>
            </w:r>
            <w:r>
              <w:rPr>
                <w:rFonts w:hint="eastAsia"/>
                <w:spacing w:val="-11"/>
                <w:kern w:val="2"/>
              </w:rPr>
              <w:t xml:space="preserve">　建築物敷地内　</w:t>
            </w:r>
            <w:r>
              <w:rPr>
                <w:rFonts w:eastAsia="Times New Roman" w:cs="Times New Roman"/>
                <w:spacing w:val="-11"/>
                <w:kern w:val="2"/>
              </w:rPr>
              <w:t>(2)</w:t>
            </w:r>
            <w:r>
              <w:rPr>
                <w:rFonts w:hint="eastAsia"/>
                <w:spacing w:val="-11"/>
                <w:kern w:val="2"/>
              </w:rPr>
              <w:t xml:space="preserve">　建築物敷地外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行為面積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asciiTheme="minorEastAsia" w:eastAsiaTheme="minorEastAsia" w:hAnsiTheme="minorEastAsia" w:cs="Times New Roman" w:hint="eastAsia"/>
                <w:spacing w:val="-11"/>
                <w:kern w:val="2"/>
              </w:rPr>
              <w:t>㎡</w:t>
            </w:r>
            <w:r>
              <w:rPr>
                <w:rFonts w:eastAsia="Times New Roman" w:cs="Times New Roman"/>
                <w:spacing w:val="-11"/>
                <w:kern w:val="2"/>
              </w:rPr>
              <w:t>(A)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隣接地の現況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>
            <w:r w:rsidRPr="00B96AB4">
              <w:rPr>
                <w:rFonts w:hint="eastAsia"/>
              </w:rPr>
              <w:t>移</w:t>
            </w:r>
          </w:p>
          <w:p w:rsidR="008D0716" w:rsidRPr="00B96AB4" w:rsidRDefault="008D0716" w:rsidP="00B96AB4">
            <w:r w:rsidRPr="00B96AB4">
              <w:rPr>
                <w:rFonts w:hint="eastAsia"/>
              </w:rPr>
              <w:t>動</w:t>
            </w:r>
          </w:p>
          <w:p w:rsidR="008D0716" w:rsidRPr="00B96AB4" w:rsidRDefault="008D0716" w:rsidP="00B96AB4">
            <w:r w:rsidRPr="00B96AB4">
              <w:rPr>
                <w:rFonts w:hint="eastAsia"/>
              </w:rPr>
              <w:t>土</w:t>
            </w:r>
          </w:p>
          <w:p w:rsidR="008D0716" w:rsidRPr="00B96AB4" w:rsidRDefault="008D0716" w:rsidP="00B96AB4">
            <w:r w:rsidRPr="00B96AB4">
              <w:rPr>
                <w:rFonts w:hint="eastAsia"/>
              </w:rPr>
              <w:t>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切土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hint="eastAsia"/>
                <w:spacing w:val="-11"/>
                <w:kern w:val="2"/>
              </w:rPr>
              <w:t>㎥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盛土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hint="eastAsia"/>
                <w:spacing w:val="-11"/>
                <w:kern w:val="2"/>
              </w:rPr>
              <w:t>㎥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客土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hint="eastAsia"/>
                <w:spacing w:val="-11"/>
                <w:kern w:val="2"/>
              </w:rPr>
              <w:t>㎥</w:t>
            </w:r>
          </w:p>
        </w:tc>
      </w:tr>
      <w:tr w:rsidR="008D0716" w:rsidTr="00A03E6A">
        <w:trPr>
          <w:cantSplit/>
          <w:trHeight w:hRule="exact" w:val="624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その他</w:t>
            </w:r>
          </w:p>
          <w:p w:rsidR="008D0716" w:rsidRPr="00B96AB4" w:rsidRDefault="008D0716" w:rsidP="00A03E6A">
            <w:pPr>
              <w:jc w:val="distribute"/>
            </w:pPr>
            <w:r w:rsidRPr="00B96AB4">
              <w:t>(</w:t>
            </w:r>
            <w:r w:rsidRPr="00B96AB4">
              <w:rPr>
                <w:rFonts w:hint="eastAsia"/>
              </w:rPr>
              <w:t xml:space="preserve">　　　　</w:t>
            </w:r>
            <w:r w:rsidRPr="00B96AB4">
              <w:t>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hint="eastAsia"/>
                <w:spacing w:val="-11"/>
                <w:kern w:val="2"/>
              </w:rPr>
              <w:t>㎥</w:t>
            </w:r>
          </w:p>
        </w:tc>
      </w:tr>
      <w:tr w:rsidR="008D0716" w:rsidTr="00A03E6A">
        <w:trPr>
          <w:cantSplit/>
          <w:trHeight w:hRule="exact" w:val="624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生ずる法面の</w:t>
            </w:r>
          </w:p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最高値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asciiTheme="minorEastAsia" w:eastAsiaTheme="minorEastAsia" w:hAnsiTheme="minorEastAsia" w:cs="Times New Roman" w:hint="eastAsia"/>
                <w:spacing w:val="-11"/>
                <w:kern w:val="2"/>
              </w:rPr>
              <w:t>ｍ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緑化面積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asciiTheme="minorEastAsia" w:eastAsiaTheme="minorEastAsia" w:hAnsiTheme="minorEastAsia" w:cs="Times New Roman" w:hint="eastAsia"/>
                <w:spacing w:val="-11"/>
                <w:kern w:val="2"/>
              </w:rPr>
              <w:t>㎡</w:t>
            </w:r>
            <w:r>
              <w:rPr>
                <w:rFonts w:eastAsia="Times New Roman" w:cs="Times New Roman"/>
                <w:spacing w:val="-11"/>
                <w:kern w:val="2"/>
              </w:rPr>
              <w:t>(B)</w:t>
            </w:r>
          </w:p>
        </w:tc>
      </w:tr>
      <w:tr w:rsidR="008D0716" w:rsidTr="00A03E6A">
        <w:trPr>
          <w:cantSplit/>
          <w:trHeight w:hRule="exact" w:val="624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緑地率</w:t>
            </w:r>
          </w:p>
          <w:p w:rsidR="008D0716" w:rsidRPr="00B96AB4" w:rsidRDefault="008D0716" w:rsidP="00A03E6A">
            <w:pPr>
              <w:jc w:val="center"/>
            </w:pPr>
            <w:r w:rsidRPr="00B96AB4">
              <w:rPr>
                <w:rFonts w:hint="eastAsia"/>
              </w:rPr>
              <w:t>(</w:t>
            </w:r>
            <w:r w:rsidRPr="00456408">
              <w:rPr>
                <w:rFonts w:asciiTheme="minorEastAsia" w:hAnsiTheme="minorEastAsia" w:hint="eastAsia"/>
              </w:rPr>
              <w:t>B)／(A</w:t>
            </w:r>
            <w:r w:rsidRPr="00B96AB4">
              <w:rPr>
                <w:rFonts w:hint="eastAsia"/>
              </w:rPr>
              <w:t>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％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跡地の処理方法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A03E6A">
        <w:trPr>
          <w:cantSplit/>
          <w:trHeight w:hRule="exact" w:val="624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>
            <w:r w:rsidRPr="00B96AB4">
              <w:rPr>
                <w:rFonts w:hint="eastAsia"/>
              </w:rPr>
              <w:t>Ⅱ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土石の類の採取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採取土石類の</w:t>
            </w:r>
          </w:p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種類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採取区域面積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asciiTheme="minorEastAsia" w:eastAsiaTheme="minorEastAsia" w:hAnsiTheme="minorEastAsia" w:cs="Times New Roman" w:hint="eastAsia"/>
                <w:spacing w:val="-11"/>
                <w:kern w:val="2"/>
              </w:rPr>
              <w:t>㎡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採取量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hint="eastAsia"/>
                <w:spacing w:val="-11"/>
                <w:kern w:val="2"/>
              </w:rPr>
              <w:t>㎥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隣接地の現況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A03E6A">
        <w:trPr>
          <w:cantSplit/>
          <w:trHeight w:hRule="exact" w:val="624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採取方法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(1)</w:t>
            </w:r>
            <w:r>
              <w:rPr>
                <w:rFonts w:hint="eastAsia"/>
                <w:spacing w:val="-11"/>
                <w:kern w:val="2"/>
              </w:rPr>
              <w:t xml:space="preserve">　横抗掘　</w:t>
            </w:r>
            <w:r>
              <w:rPr>
                <w:rFonts w:eastAsia="Times New Roman" w:cs="Times New Roman"/>
                <w:spacing w:val="-11"/>
                <w:kern w:val="2"/>
              </w:rPr>
              <w:t>(2)</w:t>
            </w:r>
            <w:r>
              <w:rPr>
                <w:rFonts w:hint="eastAsia"/>
                <w:spacing w:val="-11"/>
                <w:kern w:val="2"/>
              </w:rPr>
              <w:t xml:space="preserve">　たて抗掘　</w:t>
            </w:r>
            <w:r>
              <w:rPr>
                <w:rFonts w:eastAsia="Times New Roman" w:cs="Times New Roman"/>
                <w:spacing w:val="-11"/>
                <w:kern w:val="2"/>
              </w:rPr>
              <w:t>(3)</w:t>
            </w:r>
            <w:r>
              <w:rPr>
                <w:rFonts w:hint="eastAsia"/>
                <w:spacing w:val="-11"/>
                <w:kern w:val="2"/>
              </w:rPr>
              <w:t xml:space="preserve">　斜抗掘</w:t>
            </w:r>
          </w:p>
          <w:p w:rsidR="008D0716" w:rsidRDefault="008D0716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(4)</w:t>
            </w:r>
            <w:r>
              <w:rPr>
                <w:rFonts w:hint="eastAsia"/>
                <w:spacing w:val="-11"/>
                <w:kern w:val="2"/>
              </w:rPr>
              <w:t xml:space="preserve">　その他</w:t>
            </w:r>
            <w:r>
              <w:rPr>
                <w:rFonts w:eastAsia="Times New Roman" w:cs="Times New Roman"/>
                <w:spacing w:val="-11"/>
                <w:kern w:val="2"/>
              </w:rPr>
              <w:t>(</w:t>
            </w:r>
            <w:r>
              <w:rPr>
                <w:rFonts w:hint="eastAsia"/>
                <w:spacing w:val="-11"/>
                <w:kern w:val="2"/>
              </w:rPr>
              <w:t xml:space="preserve">　　　　</w:t>
            </w:r>
            <w:r>
              <w:rPr>
                <w:rFonts w:eastAsia="Times New Roman" w:cs="Times New Roman"/>
                <w:spacing w:val="-11"/>
                <w:kern w:val="2"/>
              </w:rPr>
              <w:t>)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DE7399">
            <w:pPr>
              <w:jc w:val="distribute"/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跡地の処理方法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>
            <w:r w:rsidRPr="00B96AB4">
              <w:rPr>
                <w:rFonts w:hint="eastAsia"/>
              </w:rPr>
              <w:t>Ⅲ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水面の埋立て又は干拓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水面面積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asciiTheme="minorEastAsia" w:eastAsiaTheme="minorEastAsia" w:hAnsiTheme="minorEastAsia" w:cs="Times New Roman" w:hint="eastAsia"/>
                <w:spacing w:val="-11"/>
                <w:kern w:val="2"/>
              </w:rPr>
              <w:t>㎡</w:t>
            </w:r>
          </w:p>
        </w:tc>
      </w:tr>
      <w:tr w:rsidR="008D0716" w:rsidTr="00A03E6A">
        <w:trPr>
          <w:cantSplit/>
          <w:trHeight w:hRule="exact" w:val="624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埋立て</w:t>
            </w:r>
            <w:r w:rsidRPr="00B96AB4">
              <w:rPr>
                <w:rFonts w:hint="eastAsia"/>
              </w:rPr>
              <w:t>(</w:t>
            </w:r>
            <w:r w:rsidRPr="00B96AB4">
              <w:rPr>
                <w:rFonts w:hint="eastAsia"/>
              </w:rPr>
              <w:t>又は</w:t>
            </w:r>
          </w:p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干拓</w:t>
            </w:r>
            <w:r w:rsidRPr="00B96AB4">
              <w:rPr>
                <w:rFonts w:hint="eastAsia"/>
              </w:rPr>
              <w:t>)</w:t>
            </w:r>
            <w:r w:rsidRPr="00B96AB4">
              <w:rPr>
                <w:rFonts w:hint="eastAsia"/>
              </w:rPr>
              <w:t>面積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A03E6A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</w:t>
            </w:r>
            <w:r w:rsidR="00A03E6A">
              <w:rPr>
                <w:rFonts w:asciiTheme="minorEastAsia" w:eastAsiaTheme="minorEastAsia" w:hAnsiTheme="minorEastAsia" w:cs="Times New Roman" w:hint="eastAsia"/>
                <w:spacing w:val="-11"/>
                <w:kern w:val="2"/>
              </w:rPr>
              <w:t>㎡</w:t>
            </w: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隣接地の現況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工事方法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A03E6A">
        <w:trPr>
          <w:cantSplit/>
          <w:trHeight w:hRule="exact" w:val="34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/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B96AB4" w:rsidRDefault="008D0716" w:rsidP="00DE7399">
            <w:pPr>
              <w:jc w:val="center"/>
              <w:rPr>
                <w:rFonts w:asciiTheme="minorEastAsia" w:hAnsiTheme="minorEastAsia"/>
              </w:rPr>
            </w:pPr>
            <w:r w:rsidRPr="00B96AB4">
              <w:rPr>
                <w:rFonts w:asciiTheme="minorEastAsia" w:hAnsiTheme="minorEastAsia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A03E6A">
            <w:pPr>
              <w:jc w:val="distribute"/>
            </w:pPr>
            <w:r w:rsidRPr="00B96AB4">
              <w:rPr>
                <w:rFonts w:hint="eastAsia"/>
              </w:rPr>
              <w:t>跡地の処理方法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8D0716" w:rsidRDefault="008D0716" w:rsidP="008D0716">
      <w:pPr>
        <w:pStyle w:val="a3"/>
        <w:rPr>
          <w:rFonts w:ascii="Times New Roman" w:hAnsi="Times New Roman"/>
          <w:spacing w:val="0"/>
        </w:rPr>
      </w:pPr>
      <w:r>
        <w:rPr>
          <w:rFonts w:eastAsia="Times New Roman" w:cs="Times New Roman"/>
        </w:rPr>
        <w:t>(</w:t>
      </w:r>
      <w:r>
        <w:rPr>
          <w:rFonts w:hint="eastAsia"/>
        </w:rPr>
        <w:t>注</w:t>
      </w:r>
      <w:r>
        <w:rPr>
          <w:rFonts w:eastAsia="Times New Roman" w:cs="Times New Roman"/>
        </w:rPr>
        <w:t>)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 xml:space="preserve">　Ⅰ―</w:t>
      </w:r>
      <w:r>
        <w:rPr>
          <w:rFonts w:eastAsia="Times New Roman" w:cs="Times New Roman"/>
        </w:rPr>
        <w:t>1</w:t>
      </w:r>
      <w:r w:rsidR="00456408">
        <w:rPr>
          <w:rFonts w:asciiTheme="minorEastAsia" w:eastAsiaTheme="minorEastAsia" w:hAnsiTheme="minorEastAsia" w:cs="Times New Roman" w:hint="eastAsia"/>
        </w:rPr>
        <w:t>、</w:t>
      </w:r>
      <w:r>
        <w:rPr>
          <w:rFonts w:hint="eastAsia"/>
        </w:rPr>
        <w:t>Ⅰ―</w:t>
      </w:r>
      <w:r>
        <w:rPr>
          <w:rFonts w:eastAsia="Times New Roman" w:cs="Times New Roman"/>
        </w:rPr>
        <w:t>2</w:t>
      </w:r>
      <w:r>
        <w:rPr>
          <w:rFonts w:hint="eastAsia"/>
        </w:rPr>
        <w:t>及びⅡ―</w:t>
      </w:r>
      <w:r>
        <w:rPr>
          <w:rFonts w:eastAsia="Times New Roman" w:cs="Times New Roman"/>
        </w:rPr>
        <w:t>5</w:t>
      </w:r>
      <w:r w:rsidR="00456408">
        <w:rPr>
          <w:rFonts w:hint="eastAsia"/>
        </w:rPr>
        <w:t>については、</w:t>
      </w:r>
      <w:r>
        <w:rPr>
          <w:rFonts w:hint="eastAsia"/>
        </w:rPr>
        <w:t>該当番号を○で囲むこと。</w:t>
      </w:r>
    </w:p>
    <w:p w:rsidR="00456408" w:rsidRDefault="008D0716" w:rsidP="008D0716">
      <w:pPr>
        <w:pStyle w:val="a3"/>
      </w:pPr>
      <w:r>
        <w:rPr>
          <w:rFonts w:hint="eastAsia"/>
        </w:rPr>
        <w:t xml:space="preserve">　　　</w:t>
      </w:r>
      <w:r>
        <w:rPr>
          <w:rFonts w:eastAsia="Times New Roman" w:cs="Times New Roman"/>
        </w:rPr>
        <w:t>2</w:t>
      </w:r>
      <w:r>
        <w:rPr>
          <w:rFonts w:hint="eastAsia"/>
        </w:rPr>
        <w:t xml:space="preserve">　Ⅰ―4</w:t>
      </w:r>
      <w:r w:rsidR="00456408">
        <w:rPr>
          <w:rFonts w:hint="eastAsia"/>
        </w:rPr>
        <w:t>、</w:t>
      </w:r>
      <w:r>
        <w:rPr>
          <w:rFonts w:hint="eastAsia"/>
        </w:rPr>
        <w:t>Ⅱ―</w:t>
      </w:r>
      <w:r>
        <w:rPr>
          <w:rFonts w:eastAsia="Times New Roman" w:cs="Times New Roman"/>
        </w:rPr>
        <w:t>4</w:t>
      </w:r>
      <w:r>
        <w:rPr>
          <w:rFonts w:hint="eastAsia"/>
        </w:rPr>
        <w:t>及びⅢ―</w:t>
      </w:r>
      <w:r>
        <w:rPr>
          <w:rFonts w:eastAsia="Times New Roman" w:cs="Times New Roman"/>
        </w:rPr>
        <w:t>3</w:t>
      </w:r>
      <w:r w:rsidR="00456408">
        <w:rPr>
          <w:rFonts w:hint="eastAsia"/>
        </w:rPr>
        <w:t>の「隣接地の現況」欄には、林地、伐採跡地、草生地等の</w:t>
      </w:r>
    </w:p>
    <w:p w:rsidR="008D0716" w:rsidRDefault="00456408" w:rsidP="00456408">
      <w:pPr>
        <w:pStyle w:val="a3"/>
        <w:ind w:firstLineChars="400" w:firstLine="888"/>
        <w:rPr>
          <w:spacing w:val="0"/>
        </w:rPr>
      </w:pPr>
      <w:r>
        <w:rPr>
          <w:rFonts w:hint="eastAsia"/>
        </w:rPr>
        <w:t>別、立木竹、</w:t>
      </w:r>
      <w:r w:rsidR="008D0716">
        <w:rPr>
          <w:rFonts w:hint="eastAsia"/>
        </w:rPr>
        <w:t>建築物その他の工作物等の有無を記入すること。</w:t>
      </w:r>
    </w:p>
    <w:p w:rsidR="008D0716" w:rsidRDefault="008D0716" w:rsidP="00456408">
      <w:pPr>
        <w:pStyle w:val="a3"/>
        <w:ind w:left="888" w:hangingChars="400" w:hanging="888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eastAsia="Times New Roman" w:cs="Times New Roman"/>
        </w:rPr>
        <w:t>3</w:t>
      </w:r>
      <w:r>
        <w:rPr>
          <w:rFonts w:hint="eastAsia"/>
        </w:rPr>
        <w:t xml:space="preserve">　Ⅰ―</w:t>
      </w:r>
      <w:r>
        <w:rPr>
          <w:rFonts w:eastAsia="Times New Roman" w:cs="Times New Roman"/>
        </w:rPr>
        <w:t>5</w:t>
      </w:r>
      <w:r w:rsidR="00456408">
        <w:rPr>
          <w:rFonts w:hint="eastAsia"/>
        </w:rPr>
        <w:t>の「移動土量」欄については、切土、盛土又は客土に該当しない場合は、</w:t>
      </w:r>
      <w:r>
        <w:rPr>
          <w:rFonts w:hint="eastAsia"/>
        </w:rPr>
        <w:t>「そ</w:t>
      </w:r>
      <w:r w:rsidR="00456408">
        <w:rPr>
          <w:rFonts w:hint="eastAsia"/>
        </w:rPr>
        <w:t>の他」欄に「掘さく、</w:t>
      </w:r>
      <w:r>
        <w:rPr>
          <w:rFonts w:hint="eastAsia"/>
        </w:rPr>
        <w:t>搬出</w:t>
      </w:r>
      <w:r w:rsidR="00456408">
        <w:rPr>
          <w:rFonts w:hint="eastAsia"/>
        </w:rPr>
        <w:t>」等、</w:t>
      </w:r>
      <w:r>
        <w:rPr>
          <w:rFonts w:hint="eastAsia"/>
        </w:rPr>
        <w:t>具体的に記入すること。</w:t>
      </w:r>
    </w:p>
    <w:p w:rsidR="007375F7" w:rsidRPr="00BB09BC" w:rsidRDefault="008D0716" w:rsidP="00DF72A8">
      <w:pPr>
        <w:pStyle w:val="a3"/>
        <w:ind w:left="888" w:hangingChars="400" w:hanging="888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>
        <w:rPr>
          <w:rFonts w:eastAsia="Times New Roman" w:cs="Times New Roman"/>
        </w:rPr>
        <w:t>4</w:t>
      </w:r>
      <w:r>
        <w:rPr>
          <w:rFonts w:hint="eastAsia"/>
        </w:rPr>
        <w:t xml:space="preserve">　Ⅰ―</w:t>
      </w:r>
      <w:r>
        <w:rPr>
          <w:rFonts w:eastAsia="Times New Roman" w:cs="Times New Roman"/>
        </w:rPr>
        <w:t>9</w:t>
      </w:r>
      <w:r w:rsidR="00456408">
        <w:rPr>
          <w:rFonts w:hint="eastAsia"/>
        </w:rPr>
        <w:t>、</w:t>
      </w:r>
      <w:r>
        <w:rPr>
          <w:rFonts w:hint="eastAsia"/>
        </w:rPr>
        <w:t>Ⅱ―</w:t>
      </w:r>
      <w:r>
        <w:rPr>
          <w:rFonts w:eastAsia="Times New Roman" w:cs="Times New Roman"/>
        </w:rPr>
        <w:t>6</w:t>
      </w:r>
      <w:r>
        <w:rPr>
          <w:rFonts w:hint="eastAsia"/>
        </w:rPr>
        <w:t>及びⅢ―5</w:t>
      </w:r>
      <w:r w:rsidR="00456408">
        <w:rPr>
          <w:rFonts w:hint="eastAsia"/>
        </w:rPr>
        <w:t>の「跡地の処理方法」欄には、裸地、砂利舗装、埋戻し等のほか、法面についても芝付け、コンクリートブロック擁壁、</w:t>
      </w:r>
      <w:r>
        <w:rPr>
          <w:rFonts w:hint="eastAsia"/>
        </w:rPr>
        <w:t>放置等</w:t>
      </w:r>
      <w:r w:rsidR="008C008A">
        <w:rPr>
          <w:rFonts w:hint="eastAsia"/>
        </w:rPr>
        <w:t>、</w:t>
      </w:r>
      <w:r>
        <w:rPr>
          <w:rFonts w:hint="eastAsia"/>
        </w:rPr>
        <w:t>具体的に記入すること。</w:t>
      </w:r>
    </w:p>
    <w:sectPr w:rsidR="007375F7" w:rsidRPr="00BB09BC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7E9E"/>
    <w:rsid w:val="00374043"/>
    <w:rsid w:val="003E3849"/>
    <w:rsid w:val="00456408"/>
    <w:rsid w:val="00465E61"/>
    <w:rsid w:val="0048454A"/>
    <w:rsid w:val="004C79E5"/>
    <w:rsid w:val="00510986"/>
    <w:rsid w:val="005315AD"/>
    <w:rsid w:val="00582C40"/>
    <w:rsid w:val="00614321"/>
    <w:rsid w:val="00641212"/>
    <w:rsid w:val="006501B4"/>
    <w:rsid w:val="006601C5"/>
    <w:rsid w:val="00697819"/>
    <w:rsid w:val="006A6CA4"/>
    <w:rsid w:val="006B44FE"/>
    <w:rsid w:val="006D366E"/>
    <w:rsid w:val="007375F7"/>
    <w:rsid w:val="00750345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B51ACF"/>
    <w:rsid w:val="00B92619"/>
    <w:rsid w:val="00B96AB4"/>
    <w:rsid w:val="00BA338A"/>
    <w:rsid w:val="00BB09BC"/>
    <w:rsid w:val="00BF2B40"/>
    <w:rsid w:val="00BF5DED"/>
    <w:rsid w:val="00C1645F"/>
    <w:rsid w:val="00C357A8"/>
    <w:rsid w:val="00C45E9E"/>
    <w:rsid w:val="00C74BB3"/>
    <w:rsid w:val="00CB0403"/>
    <w:rsid w:val="00CE401F"/>
    <w:rsid w:val="00DA105A"/>
    <w:rsid w:val="00DA2630"/>
    <w:rsid w:val="00DB2934"/>
    <w:rsid w:val="00DE7399"/>
    <w:rsid w:val="00DF40E3"/>
    <w:rsid w:val="00DF72A8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1846-E21F-4FEB-A793-5EECB189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2015-03-31T00:56:00Z</cp:lastPrinted>
  <dcterms:created xsi:type="dcterms:W3CDTF">2015-03-24T02:43:00Z</dcterms:created>
  <dcterms:modified xsi:type="dcterms:W3CDTF">2015-03-31T00:56:00Z</dcterms:modified>
</cp:coreProperties>
</file>